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99" w:rsidRDefault="003803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A2599" w:rsidRPr="000A2599" w:rsidRDefault="001C1862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0A2599"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нформация об обращениях граждан, поступивших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строительства, архитектуры и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жилищно-коммунального хозяйства Республики Татарстан </w:t>
      </w:r>
    </w:p>
    <w:p w:rsidR="00022F64" w:rsidRPr="00022F64" w:rsidRDefault="00022F64" w:rsidP="00022F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/>
          <w:b/>
          <w:sz w:val="28"/>
          <w:szCs w:val="28"/>
          <w:lang w:eastAsia="ru-RU"/>
        </w:rPr>
        <w:t>в 1 полугодии 201</w:t>
      </w:r>
      <w:r w:rsidR="00294FE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22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88665F" w:rsidRPr="00254EBD" w:rsidRDefault="0088665F" w:rsidP="004324B8">
      <w:pPr>
        <w:widowControl w:val="0"/>
        <w:snapToGri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5BFA" w:rsidRDefault="00857FED" w:rsidP="009F3156">
      <w:pPr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F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1 полугодие </w:t>
      </w:r>
      <w:r w:rsidRPr="00294FE9">
        <w:rPr>
          <w:rFonts w:ascii="Times New Roman" w:eastAsia="Times New Roman" w:hAnsi="Times New Roman"/>
          <w:color w:val="000000" w:themeColor="text1"/>
          <w:sz w:val="28"/>
          <w:szCs w:val="28"/>
          <w:lang w:val="tt-RU" w:eastAsia="ru-RU"/>
        </w:rPr>
        <w:t>201</w:t>
      </w:r>
      <w:r w:rsidR="00294FE9" w:rsidRPr="00294FE9">
        <w:rPr>
          <w:rFonts w:ascii="Times New Roman" w:eastAsia="Times New Roman" w:hAnsi="Times New Roman"/>
          <w:color w:val="000000" w:themeColor="text1"/>
          <w:sz w:val="28"/>
          <w:szCs w:val="28"/>
          <w:lang w:val="tt-RU" w:eastAsia="ru-RU"/>
        </w:rPr>
        <w:t>8</w:t>
      </w:r>
      <w:r w:rsidRPr="00294FE9">
        <w:rPr>
          <w:rFonts w:ascii="Times New Roman" w:eastAsia="Times New Roman" w:hAnsi="Times New Roman"/>
          <w:color w:val="000000" w:themeColor="text1"/>
          <w:sz w:val="28"/>
          <w:szCs w:val="28"/>
          <w:lang w:val="tt-RU" w:eastAsia="ru-RU"/>
        </w:rPr>
        <w:t xml:space="preserve"> года в адрес </w:t>
      </w:r>
      <w:r w:rsidR="00294FE9" w:rsidRPr="00294FE9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294F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4FE9" w:rsidRPr="00294FE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архитектуры и жилищно-коммунального хозяйства Республики Татарстан</w:t>
      </w:r>
      <w:r w:rsidR="00294FE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Министерство) </w:t>
      </w:r>
      <w:r w:rsidRPr="00294FE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294FE9">
        <w:rPr>
          <w:rFonts w:ascii="Times New Roman" w:hAnsi="Times New Roman"/>
          <w:sz w:val="28"/>
          <w:szCs w:val="28"/>
        </w:rPr>
        <w:t>3 355</w:t>
      </w:r>
      <w:r w:rsidR="001C1862" w:rsidRPr="00294FE9">
        <w:rPr>
          <w:rFonts w:ascii="Times New Roman" w:hAnsi="Times New Roman"/>
          <w:sz w:val="28"/>
          <w:szCs w:val="28"/>
        </w:rPr>
        <w:t xml:space="preserve"> </w:t>
      </w:r>
      <w:r w:rsidRPr="00294FE9">
        <w:rPr>
          <w:rFonts w:ascii="Times New Roman" w:eastAsia="Times New Roman" w:hAnsi="Times New Roman"/>
          <w:sz w:val="28"/>
          <w:szCs w:val="28"/>
          <w:lang w:eastAsia="ru-RU"/>
        </w:rPr>
        <w:t>письменны</w:t>
      </w:r>
      <w:r w:rsidRPr="00254EBD">
        <w:rPr>
          <w:rFonts w:ascii="Times New Roman" w:eastAsia="Times New Roman" w:hAnsi="Times New Roman"/>
          <w:sz w:val="28"/>
          <w:szCs w:val="28"/>
          <w:lang w:eastAsia="ru-RU"/>
        </w:rPr>
        <w:t xml:space="preserve">х и устных обращений граждан, что на </w:t>
      </w:r>
      <w:r w:rsidR="00294FE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54EBD">
        <w:rPr>
          <w:rFonts w:ascii="Times New Roman" w:eastAsia="Times New Roman" w:hAnsi="Times New Roman"/>
          <w:sz w:val="28"/>
          <w:szCs w:val="28"/>
          <w:lang w:eastAsia="ru-RU"/>
        </w:rPr>
        <w:t>% меньше, чем за аналогичный период 201</w:t>
      </w:r>
      <w:r w:rsidR="00294F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54E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03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254EB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4FE9">
        <w:rPr>
          <w:rFonts w:ascii="Times New Roman" w:eastAsia="Times New Roman" w:hAnsi="Times New Roman"/>
          <w:sz w:val="28"/>
          <w:szCs w:val="28"/>
          <w:lang w:eastAsia="ru-RU"/>
        </w:rPr>
        <w:t>4 048</w:t>
      </w:r>
      <w:r w:rsidRPr="00254EB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обращений). </w:t>
      </w:r>
    </w:p>
    <w:p w:rsidR="007D5DEF" w:rsidRDefault="007D5DEF" w:rsidP="0088665F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90A" w:rsidRDefault="0053090A" w:rsidP="0053090A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источники поступления обращений граждан</w:t>
      </w:r>
    </w:p>
    <w:p w:rsidR="0053090A" w:rsidRPr="0088665F" w:rsidRDefault="0053090A" w:rsidP="0053090A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33"/>
        <w:gridCol w:w="2421"/>
        <w:gridCol w:w="2200"/>
      </w:tblGrid>
      <w:tr w:rsidR="0053090A" w:rsidRPr="0088665F" w:rsidTr="002A2A79">
        <w:tc>
          <w:tcPr>
            <w:tcW w:w="4333" w:type="dxa"/>
          </w:tcPr>
          <w:p w:rsidR="0053090A" w:rsidRPr="0088665F" w:rsidRDefault="0053090A" w:rsidP="005D73C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поступления</w:t>
            </w:r>
          </w:p>
        </w:tc>
        <w:tc>
          <w:tcPr>
            <w:tcW w:w="4621" w:type="dxa"/>
            <w:gridSpan w:val="2"/>
          </w:tcPr>
          <w:p w:rsidR="0053090A" w:rsidRDefault="0053090A" w:rsidP="005D73C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обращений</w:t>
            </w:r>
          </w:p>
          <w:p w:rsidR="00380399" w:rsidRPr="0088665F" w:rsidRDefault="00380399" w:rsidP="005D73C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3090A" w:rsidRPr="0088665F" w:rsidTr="002A2A79">
        <w:tc>
          <w:tcPr>
            <w:tcW w:w="4333" w:type="dxa"/>
          </w:tcPr>
          <w:p w:rsidR="0053090A" w:rsidRPr="0088665F" w:rsidRDefault="0053090A" w:rsidP="005D73C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53090A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полугодие </w:t>
            </w:r>
          </w:p>
          <w:p w:rsidR="0053090A" w:rsidRPr="0088665F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00" w:type="dxa"/>
          </w:tcPr>
          <w:p w:rsidR="0053090A" w:rsidRPr="0088665F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полугодие 2018</w:t>
            </w:r>
          </w:p>
        </w:tc>
      </w:tr>
      <w:tr w:rsidR="0053090A" w:rsidRPr="0088665F" w:rsidTr="002A2A79">
        <w:tc>
          <w:tcPr>
            <w:tcW w:w="4333" w:type="dxa"/>
          </w:tcPr>
          <w:p w:rsidR="002A2A79" w:rsidRPr="0088665F" w:rsidRDefault="0053090A" w:rsidP="004324B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Интернет-приемная</w:t>
            </w:r>
          </w:p>
        </w:tc>
        <w:tc>
          <w:tcPr>
            <w:tcW w:w="2421" w:type="dxa"/>
          </w:tcPr>
          <w:p w:rsidR="0053090A" w:rsidRPr="00DA35DE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35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00" w:type="dxa"/>
          </w:tcPr>
          <w:p w:rsidR="0053090A" w:rsidRPr="007D5DEF" w:rsidRDefault="00AF4E28" w:rsidP="0053090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</w:tr>
      <w:tr w:rsidR="0053090A" w:rsidRPr="0088665F" w:rsidTr="002A2A79">
        <w:tc>
          <w:tcPr>
            <w:tcW w:w="4333" w:type="dxa"/>
          </w:tcPr>
          <w:p w:rsidR="002A2A79" w:rsidRPr="0088665F" w:rsidRDefault="0053090A" w:rsidP="004324B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2421" w:type="dxa"/>
          </w:tcPr>
          <w:p w:rsidR="0053090A" w:rsidRPr="00DA35DE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200" w:type="dxa"/>
          </w:tcPr>
          <w:p w:rsidR="0053090A" w:rsidRPr="007D5DEF" w:rsidRDefault="00AF4E28" w:rsidP="0053090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53090A" w:rsidRPr="0088665F" w:rsidTr="002A2A79">
        <w:tc>
          <w:tcPr>
            <w:tcW w:w="4333" w:type="dxa"/>
          </w:tcPr>
          <w:p w:rsidR="002A2A79" w:rsidRPr="0088665F" w:rsidRDefault="0053090A" w:rsidP="004324B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2421" w:type="dxa"/>
          </w:tcPr>
          <w:p w:rsidR="0053090A" w:rsidRPr="00DA35DE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2200" w:type="dxa"/>
          </w:tcPr>
          <w:p w:rsidR="0053090A" w:rsidRPr="007D5DEF" w:rsidRDefault="00AF4E28" w:rsidP="0053090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</w:tr>
      <w:tr w:rsidR="0053090A" w:rsidRPr="0088665F" w:rsidTr="002A2A79">
        <w:tc>
          <w:tcPr>
            <w:tcW w:w="4333" w:type="dxa"/>
          </w:tcPr>
          <w:p w:rsidR="002A2A79" w:rsidRPr="0088665F" w:rsidRDefault="0053090A" w:rsidP="004324B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МЭДО</w:t>
            </w:r>
          </w:p>
        </w:tc>
        <w:tc>
          <w:tcPr>
            <w:tcW w:w="2421" w:type="dxa"/>
          </w:tcPr>
          <w:p w:rsidR="0053090A" w:rsidRPr="00DA35DE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200" w:type="dxa"/>
          </w:tcPr>
          <w:p w:rsidR="0053090A" w:rsidRPr="007D5DEF" w:rsidRDefault="00AF4E28" w:rsidP="0053090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A2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</w:t>
            </w:r>
          </w:p>
        </w:tc>
      </w:tr>
      <w:tr w:rsidR="0053090A" w:rsidRPr="0088665F" w:rsidTr="002A2A79">
        <w:tc>
          <w:tcPr>
            <w:tcW w:w="4333" w:type="dxa"/>
          </w:tcPr>
          <w:p w:rsidR="002A2A79" w:rsidRPr="0088665F" w:rsidRDefault="0053090A" w:rsidP="004324B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руки, курьером</w:t>
            </w:r>
          </w:p>
        </w:tc>
        <w:tc>
          <w:tcPr>
            <w:tcW w:w="2421" w:type="dxa"/>
          </w:tcPr>
          <w:p w:rsidR="0053090A" w:rsidRPr="00DA35DE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200" w:type="dxa"/>
          </w:tcPr>
          <w:p w:rsidR="0053090A" w:rsidRPr="007D5DEF" w:rsidRDefault="00AF4E28" w:rsidP="0053090A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</w:t>
            </w:r>
          </w:p>
        </w:tc>
      </w:tr>
    </w:tbl>
    <w:p w:rsidR="004324B8" w:rsidRDefault="004324B8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3156" w:rsidRDefault="009F3156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0399" w:rsidRDefault="0053090A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665F">
        <w:rPr>
          <w:rFonts w:ascii="Times New Roman" w:hAnsi="Times New Roman"/>
          <w:b/>
          <w:sz w:val="28"/>
          <w:szCs w:val="28"/>
        </w:rPr>
        <w:t xml:space="preserve">Тематика поступивших обращений </w:t>
      </w:r>
    </w:p>
    <w:p w:rsidR="009F3156" w:rsidRPr="0088665F" w:rsidRDefault="009F3156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55"/>
        <w:gridCol w:w="4499"/>
      </w:tblGrid>
      <w:tr w:rsidR="0094008A" w:rsidRPr="0088665F" w:rsidTr="002A2A79">
        <w:tc>
          <w:tcPr>
            <w:tcW w:w="4455" w:type="dxa"/>
          </w:tcPr>
          <w:p w:rsidR="0094008A" w:rsidRPr="0088665F" w:rsidRDefault="0094008A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65F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4499" w:type="dxa"/>
          </w:tcPr>
          <w:p w:rsidR="0094008A" w:rsidRPr="0088665F" w:rsidRDefault="0094008A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65F">
              <w:rPr>
                <w:rFonts w:ascii="Times New Roman" w:hAnsi="Times New Roman"/>
                <w:b/>
                <w:sz w:val="28"/>
                <w:szCs w:val="28"/>
              </w:rPr>
              <w:t>% от общего числа обращений</w:t>
            </w:r>
          </w:p>
        </w:tc>
      </w:tr>
      <w:tr w:rsidR="0094008A" w:rsidRPr="0088665F" w:rsidTr="002A2A79">
        <w:tc>
          <w:tcPr>
            <w:tcW w:w="4455" w:type="dxa"/>
          </w:tcPr>
          <w:p w:rsidR="0094008A" w:rsidRPr="0088665F" w:rsidRDefault="0094008A" w:rsidP="0053090A">
            <w:pPr>
              <w:spacing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Жилищно-коммунальная сфера </w:t>
            </w:r>
          </w:p>
        </w:tc>
        <w:tc>
          <w:tcPr>
            <w:tcW w:w="4499" w:type="dxa"/>
          </w:tcPr>
          <w:p w:rsidR="0094008A" w:rsidRDefault="0094008A" w:rsidP="0094008A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49</w:t>
            </w:r>
          </w:p>
        </w:tc>
      </w:tr>
      <w:tr w:rsidR="0094008A" w:rsidRPr="0088665F" w:rsidTr="002A2A79">
        <w:tc>
          <w:tcPr>
            <w:tcW w:w="4455" w:type="dxa"/>
          </w:tcPr>
          <w:p w:rsidR="0094008A" w:rsidRPr="0088665F" w:rsidRDefault="0094008A" w:rsidP="0053090A">
            <w:pPr>
              <w:spacing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Экономика</w:t>
            </w:r>
          </w:p>
        </w:tc>
        <w:tc>
          <w:tcPr>
            <w:tcW w:w="4499" w:type="dxa"/>
          </w:tcPr>
          <w:p w:rsidR="0094008A" w:rsidRDefault="0094008A" w:rsidP="0094008A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49,1</w:t>
            </w:r>
          </w:p>
        </w:tc>
      </w:tr>
      <w:tr w:rsidR="0094008A" w:rsidRPr="0088665F" w:rsidTr="002A2A79">
        <w:tc>
          <w:tcPr>
            <w:tcW w:w="4455" w:type="dxa"/>
          </w:tcPr>
          <w:p w:rsidR="0094008A" w:rsidRPr="0088665F" w:rsidRDefault="0094008A" w:rsidP="0053090A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4499" w:type="dxa"/>
          </w:tcPr>
          <w:p w:rsidR="0094008A" w:rsidRDefault="0094008A" w:rsidP="0094008A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94008A" w:rsidRPr="0088665F" w:rsidTr="002A2A79">
        <w:tc>
          <w:tcPr>
            <w:tcW w:w="4455" w:type="dxa"/>
          </w:tcPr>
          <w:p w:rsidR="0094008A" w:rsidRPr="0088665F" w:rsidRDefault="0094008A" w:rsidP="0053090A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Социальная сфера</w:t>
            </w:r>
          </w:p>
        </w:tc>
        <w:tc>
          <w:tcPr>
            <w:tcW w:w="4499" w:type="dxa"/>
          </w:tcPr>
          <w:p w:rsidR="0094008A" w:rsidRDefault="0094008A" w:rsidP="0094008A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0,7</w:t>
            </w:r>
          </w:p>
        </w:tc>
      </w:tr>
      <w:tr w:rsidR="0094008A" w:rsidRPr="0088665F" w:rsidTr="002A2A79">
        <w:tc>
          <w:tcPr>
            <w:tcW w:w="4455" w:type="dxa"/>
          </w:tcPr>
          <w:p w:rsidR="0094008A" w:rsidRPr="0088665F" w:rsidRDefault="0094008A" w:rsidP="0053090A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866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4499" w:type="dxa"/>
          </w:tcPr>
          <w:p w:rsidR="0094008A" w:rsidRDefault="0094008A" w:rsidP="0094008A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0,2</w:t>
            </w:r>
          </w:p>
        </w:tc>
      </w:tr>
    </w:tbl>
    <w:p w:rsidR="0088665F" w:rsidRDefault="0088665F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0399" w:rsidRDefault="00380399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37B" w:rsidRDefault="008D737B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37B" w:rsidRPr="0088665F" w:rsidRDefault="008D737B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090A" w:rsidRPr="00974366" w:rsidRDefault="0053090A" w:rsidP="0053090A">
      <w:pPr>
        <w:widowControl w:val="0"/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366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Тематика поступивших обращений в сфере деятельности Министерства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437"/>
        <w:gridCol w:w="2254"/>
        <w:gridCol w:w="2254"/>
      </w:tblGrid>
      <w:tr w:rsidR="0053090A" w:rsidRPr="00974366" w:rsidTr="005D73C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Тематика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66">
              <w:rPr>
                <w:rFonts w:ascii="Times New Roman" w:hAnsi="Times New Roman"/>
                <w:b/>
                <w:sz w:val="28"/>
                <w:szCs w:val="28"/>
              </w:rPr>
              <w:t>% от общего числа обращений</w:t>
            </w:r>
          </w:p>
        </w:tc>
      </w:tr>
      <w:tr w:rsidR="0053090A" w:rsidRPr="00974366" w:rsidTr="005D73C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0A" w:rsidRPr="00974366" w:rsidRDefault="0053090A" w:rsidP="0053090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53090A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полугодие</w:t>
            </w:r>
          </w:p>
          <w:p w:rsidR="0053090A" w:rsidRPr="0088665F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54" w:type="dxa"/>
          </w:tcPr>
          <w:p w:rsidR="0053090A" w:rsidRPr="0088665F" w:rsidRDefault="0053090A" w:rsidP="0053090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полугодие 2018</w:t>
            </w:r>
          </w:p>
        </w:tc>
      </w:tr>
      <w:tr w:rsidR="0053090A" w:rsidRPr="00974366" w:rsidTr="00FF5D0F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309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Вопросы ЖКХ</w:t>
            </w:r>
          </w:p>
        </w:tc>
        <w:tc>
          <w:tcPr>
            <w:tcW w:w="2254" w:type="dxa"/>
            <w:hideMark/>
          </w:tcPr>
          <w:p w:rsidR="0053090A" w:rsidRPr="0088665F" w:rsidRDefault="0053090A" w:rsidP="002A2A7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0A" w:rsidRPr="00974366" w:rsidRDefault="00380399" w:rsidP="002A2A7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</w:tr>
      <w:tr w:rsidR="0053090A" w:rsidRPr="00974366" w:rsidTr="00FF5D0F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3090A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Оплата ЖКХ</w:t>
            </w:r>
          </w:p>
        </w:tc>
        <w:tc>
          <w:tcPr>
            <w:tcW w:w="2254" w:type="dxa"/>
            <w:hideMark/>
          </w:tcPr>
          <w:p w:rsidR="0053090A" w:rsidRPr="0088665F" w:rsidRDefault="0053090A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0A" w:rsidRPr="00974366" w:rsidRDefault="00380399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53090A" w:rsidRPr="00974366" w:rsidTr="00FF5D0F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3090A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Вопросы строительства и архитектуры</w:t>
            </w:r>
          </w:p>
        </w:tc>
        <w:tc>
          <w:tcPr>
            <w:tcW w:w="2254" w:type="dxa"/>
            <w:hideMark/>
          </w:tcPr>
          <w:p w:rsidR="0053090A" w:rsidRPr="0088665F" w:rsidRDefault="0053090A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0A" w:rsidRPr="00974366" w:rsidRDefault="00380399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</w:tr>
      <w:tr w:rsidR="0053090A" w:rsidRPr="00974366" w:rsidTr="00FF5D0F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3090A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Улучшение жилищных условий</w:t>
            </w:r>
          </w:p>
        </w:tc>
        <w:tc>
          <w:tcPr>
            <w:tcW w:w="2254" w:type="dxa"/>
            <w:hideMark/>
          </w:tcPr>
          <w:p w:rsidR="0053090A" w:rsidRPr="0088665F" w:rsidRDefault="0053090A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0A" w:rsidRPr="00974366" w:rsidRDefault="00380399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53090A" w:rsidRPr="00974366" w:rsidTr="00FF5D0F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3090A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2254" w:type="dxa"/>
            <w:hideMark/>
          </w:tcPr>
          <w:p w:rsidR="0053090A" w:rsidRPr="0088665F" w:rsidRDefault="0053090A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0A" w:rsidRPr="00974366" w:rsidRDefault="00380399" w:rsidP="002A2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53090A" w:rsidRDefault="0053090A" w:rsidP="0088665F">
      <w:pPr>
        <w:widowControl w:val="0"/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590E" w:rsidRDefault="001D590E" w:rsidP="008D737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1E8" w:rsidRPr="004B681E" w:rsidRDefault="009721E8" w:rsidP="008D737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показывает, что весомую долю составляют обращения </w:t>
      </w:r>
      <w:r w:rsidRPr="004B681E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проблемам строительства и архитектуры (</w:t>
      </w:r>
      <w:r w:rsidR="00380399">
        <w:rPr>
          <w:rFonts w:ascii="Times New Roman" w:eastAsia="Times New Roman" w:hAnsi="Times New Roman"/>
          <w:b/>
          <w:sz w:val="28"/>
          <w:szCs w:val="28"/>
          <w:lang w:eastAsia="ru-RU"/>
        </w:rPr>
        <w:t>44,7</w:t>
      </w:r>
      <w:r w:rsidRPr="004B68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%). 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>Значительную часть данного блока составляют обращения,</w:t>
      </w:r>
      <w:r w:rsidRPr="004B681E">
        <w:rPr>
          <w:rFonts w:ascii="Times New Roman" w:eastAsiaTheme="minorHAnsi" w:hAnsi="Times New Roman"/>
          <w:sz w:val="28"/>
          <w:szCs w:val="28"/>
        </w:rPr>
        <w:t xml:space="preserve"> связанные с затягиванием сроков по долевому строительству </w:t>
      </w:r>
      <w:r w:rsidR="002A2A79">
        <w:rPr>
          <w:rFonts w:ascii="Times New Roman" w:eastAsiaTheme="minorHAnsi" w:hAnsi="Times New Roman"/>
          <w:sz w:val="28"/>
          <w:szCs w:val="28"/>
        </w:rPr>
        <w:t>–</w:t>
      </w:r>
      <w:r w:rsidR="00380399">
        <w:rPr>
          <w:rFonts w:ascii="Times New Roman" w:eastAsiaTheme="minorHAnsi" w:hAnsi="Times New Roman"/>
          <w:sz w:val="28"/>
          <w:szCs w:val="28"/>
        </w:rPr>
        <w:t xml:space="preserve"> </w:t>
      </w:r>
      <w:r w:rsidR="00A951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2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1E8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(</w:t>
      </w:r>
      <w:r w:rsidRPr="004B681E">
        <w:rPr>
          <w:rFonts w:ascii="Times New Roman" w:hAnsi="Times New Roman"/>
          <w:sz w:val="28"/>
          <w:szCs w:val="28"/>
        </w:rPr>
        <w:t>за 1 полугодие 201</w:t>
      </w:r>
      <w:r w:rsidR="0094008A">
        <w:rPr>
          <w:rFonts w:ascii="Times New Roman" w:hAnsi="Times New Roman"/>
          <w:sz w:val="28"/>
          <w:szCs w:val="28"/>
        </w:rPr>
        <w:t>7</w:t>
      </w:r>
      <w:r w:rsidRPr="004B681E">
        <w:rPr>
          <w:rFonts w:ascii="Times New Roman" w:hAnsi="Times New Roman"/>
          <w:sz w:val="28"/>
          <w:szCs w:val="28"/>
        </w:rPr>
        <w:t xml:space="preserve"> г.</w:t>
      </w:r>
      <w:r w:rsidR="001D6264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>-</w:t>
      </w:r>
      <w:r w:rsidR="007A7A36">
        <w:rPr>
          <w:rFonts w:ascii="Times New Roman" w:hAnsi="Times New Roman"/>
          <w:sz w:val="28"/>
          <w:szCs w:val="28"/>
        </w:rPr>
        <w:t xml:space="preserve"> </w:t>
      </w:r>
      <w:r w:rsidR="0094008A">
        <w:rPr>
          <w:rFonts w:ascii="Times New Roman" w:eastAsia="Times New Roman" w:hAnsi="Times New Roman"/>
          <w:sz w:val="28"/>
          <w:szCs w:val="28"/>
          <w:lang w:eastAsia="ru-RU"/>
        </w:rPr>
        <w:t>2 078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B681E">
        <w:rPr>
          <w:rFonts w:ascii="Times New Roman" w:eastAsiaTheme="minorHAnsi" w:hAnsi="Times New Roman"/>
          <w:sz w:val="28"/>
          <w:szCs w:val="28"/>
        </w:rPr>
        <w:t>.</w:t>
      </w:r>
    </w:p>
    <w:p w:rsidR="00C22941" w:rsidRDefault="009721E8" w:rsidP="008D737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81E">
        <w:rPr>
          <w:rFonts w:ascii="Times New Roman" w:hAnsi="Times New Roman"/>
          <w:sz w:val="28"/>
          <w:szCs w:val="28"/>
        </w:rPr>
        <w:t xml:space="preserve">Наиболее популярными </w:t>
      </w:r>
      <w:r w:rsidRPr="004B681E">
        <w:rPr>
          <w:rFonts w:ascii="Times New Roman" w:hAnsi="Times New Roman"/>
          <w:b/>
          <w:sz w:val="28"/>
          <w:szCs w:val="28"/>
        </w:rPr>
        <w:t>в сфере жилищно-коммунального хозяйства</w:t>
      </w:r>
      <w:r w:rsidRPr="004B681E">
        <w:rPr>
          <w:rFonts w:ascii="Times New Roman" w:hAnsi="Times New Roman"/>
          <w:sz w:val="28"/>
          <w:szCs w:val="28"/>
        </w:rPr>
        <w:t xml:space="preserve"> стали вопросы, связанные с ненадлежащим содержанием жилого фонда и придомовой территории </w:t>
      </w:r>
      <w:r w:rsidR="000509E1">
        <w:rPr>
          <w:rFonts w:ascii="Times New Roman" w:hAnsi="Times New Roman"/>
          <w:sz w:val="28"/>
          <w:szCs w:val="28"/>
        </w:rPr>
        <w:t xml:space="preserve">- </w:t>
      </w:r>
      <w:r w:rsidR="00BE2B81">
        <w:rPr>
          <w:rFonts w:ascii="Times New Roman" w:hAnsi="Times New Roman"/>
          <w:sz w:val="28"/>
          <w:szCs w:val="28"/>
        </w:rPr>
        <w:t>326</w:t>
      </w:r>
      <w:r w:rsidRPr="004B681E">
        <w:rPr>
          <w:rFonts w:ascii="Times New Roman" w:hAnsi="Times New Roman"/>
          <w:sz w:val="28"/>
          <w:szCs w:val="28"/>
        </w:rPr>
        <w:t xml:space="preserve"> обращени</w:t>
      </w:r>
      <w:r w:rsidR="007A7A36">
        <w:rPr>
          <w:rFonts w:ascii="Times New Roman" w:hAnsi="Times New Roman"/>
          <w:sz w:val="28"/>
          <w:szCs w:val="28"/>
        </w:rPr>
        <w:t>й</w:t>
      </w:r>
      <w:r w:rsidRPr="004B681E">
        <w:rPr>
          <w:rFonts w:ascii="Times New Roman" w:hAnsi="Times New Roman"/>
          <w:sz w:val="28"/>
          <w:szCs w:val="28"/>
        </w:rPr>
        <w:t>,</w:t>
      </w:r>
      <w:r w:rsidR="007A7A36">
        <w:rPr>
          <w:rFonts w:ascii="Times New Roman" w:hAnsi="Times New Roman"/>
          <w:sz w:val="28"/>
          <w:szCs w:val="28"/>
        </w:rPr>
        <w:t xml:space="preserve"> </w:t>
      </w:r>
      <w:r w:rsidR="007A7A36" w:rsidRPr="007A7A36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проведением </w:t>
      </w:r>
      <w:r w:rsidR="007A7A36" w:rsidRPr="007A7A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капитального ремонта </w:t>
      </w:r>
      <w:r w:rsidR="007A7A36" w:rsidRPr="007A7A36">
        <w:rPr>
          <w:rFonts w:ascii="Times New Roman" w:hAnsi="Times New Roman"/>
          <w:sz w:val="28"/>
          <w:szCs w:val="28"/>
          <w:shd w:val="clear" w:color="auto" w:fill="FFFFFF"/>
        </w:rPr>
        <w:t xml:space="preserve">многоквартирных </w:t>
      </w:r>
      <w:r w:rsidR="007A7A36" w:rsidRPr="007A7A36">
        <w:rPr>
          <w:rFonts w:ascii="Times New Roman" w:hAnsi="Times New Roman"/>
          <w:bCs/>
          <w:sz w:val="28"/>
          <w:szCs w:val="28"/>
          <w:shd w:val="clear" w:color="auto" w:fill="FFFFFF"/>
        </w:rPr>
        <w:t>домов</w:t>
      </w:r>
      <w:r w:rsidR="007A7A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- 129 обращений</w:t>
      </w:r>
      <w:r w:rsidR="00A259AA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7A7A36" w:rsidRPr="007A7A36">
        <w:rPr>
          <w:rFonts w:ascii="Times New Roman" w:hAnsi="Times New Roman"/>
          <w:sz w:val="28"/>
          <w:szCs w:val="28"/>
        </w:rPr>
        <w:t xml:space="preserve"> </w:t>
      </w:r>
      <w:r w:rsidRPr="007A7A36">
        <w:rPr>
          <w:rFonts w:ascii="Times New Roman" w:hAnsi="Times New Roman"/>
          <w:sz w:val="28"/>
          <w:szCs w:val="28"/>
        </w:rPr>
        <w:t xml:space="preserve">некачественным предоставлением коммунальных услуг, в том числе и перебои </w:t>
      </w:r>
      <w:r w:rsidRPr="004B681E">
        <w:rPr>
          <w:rFonts w:ascii="Times New Roman" w:hAnsi="Times New Roman"/>
          <w:sz w:val="28"/>
          <w:szCs w:val="28"/>
        </w:rPr>
        <w:t>в подаче коммунальных услуг</w:t>
      </w:r>
      <w:r w:rsidR="000509E1">
        <w:rPr>
          <w:rFonts w:ascii="Times New Roman" w:hAnsi="Times New Roman"/>
          <w:sz w:val="28"/>
          <w:szCs w:val="28"/>
        </w:rPr>
        <w:t xml:space="preserve"> -</w:t>
      </w:r>
      <w:r w:rsidRPr="004B681E">
        <w:rPr>
          <w:rFonts w:ascii="Times New Roman" w:hAnsi="Times New Roman"/>
          <w:sz w:val="28"/>
          <w:szCs w:val="28"/>
        </w:rPr>
        <w:t xml:space="preserve"> </w:t>
      </w:r>
      <w:r w:rsidR="00BE2B81">
        <w:rPr>
          <w:rFonts w:ascii="Times New Roman" w:hAnsi="Times New Roman"/>
          <w:sz w:val="28"/>
          <w:szCs w:val="28"/>
        </w:rPr>
        <w:t>140</w:t>
      </w:r>
      <w:r w:rsidRPr="004B681E">
        <w:rPr>
          <w:rFonts w:ascii="Times New Roman" w:hAnsi="Times New Roman"/>
          <w:sz w:val="28"/>
          <w:szCs w:val="28"/>
        </w:rPr>
        <w:t xml:space="preserve"> обращени</w:t>
      </w:r>
      <w:r w:rsidR="00A259AA">
        <w:rPr>
          <w:rFonts w:ascii="Times New Roman" w:hAnsi="Times New Roman"/>
          <w:sz w:val="28"/>
          <w:szCs w:val="28"/>
        </w:rPr>
        <w:t>й</w:t>
      </w:r>
      <w:r w:rsidRPr="004B681E">
        <w:rPr>
          <w:rFonts w:ascii="Times New Roman" w:hAnsi="Times New Roman"/>
          <w:sz w:val="28"/>
          <w:szCs w:val="28"/>
        </w:rPr>
        <w:t xml:space="preserve">, а также с работой управляющих компаний </w:t>
      </w:r>
      <w:r w:rsidR="000509E1">
        <w:rPr>
          <w:rFonts w:ascii="Times New Roman" w:hAnsi="Times New Roman"/>
          <w:sz w:val="28"/>
          <w:szCs w:val="28"/>
        </w:rPr>
        <w:t xml:space="preserve">- </w:t>
      </w:r>
      <w:r w:rsidR="00BE2B81">
        <w:rPr>
          <w:rFonts w:ascii="Times New Roman" w:hAnsi="Times New Roman"/>
          <w:sz w:val="28"/>
          <w:szCs w:val="28"/>
        </w:rPr>
        <w:t>62</w:t>
      </w:r>
      <w:r w:rsidR="001D6264">
        <w:rPr>
          <w:rFonts w:ascii="Times New Roman" w:hAnsi="Times New Roman"/>
          <w:sz w:val="28"/>
          <w:szCs w:val="28"/>
        </w:rPr>
        <w:t xml:space="preserve"> обращение. </w:t>
      </w:r>
    </w:p>
    <w:p w:rsidR="009721E8" w:rsidRPr="00A259AA" w:rsidRDefault="001D6264" w:rsidP="008D737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9AA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полугодие </w:t>
      </w:r>
      <w:r w:rsidRPr="00A259AA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2018 года в адрес </w:t>
      </w:r>
      <w:r w:rsidRPr="00A259AA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9721E8" w:rsidRPr="00A259AA">
        <w:rPr>
          <w:rFonts w:ascii="Times New Roman" w:hAnsi="Times New Roman"/>
          <w:sz w:val="28"/>
          <w:szCs w:val="28"/>
        </w:rPr>
        <w:t xml:space="preserve"> </w:t>
      </w:r>
      <w:r w:rsidRPr="00A259AA">
        <w:rPr>
          <w:rFonts w:ascii="Times New Roman" w:hAnsi="Times New Roman"/>
          <w:sz w:val="28"/>
          <w:szCs w:val="28"/>
        </w:rPr>
        <w:t xml:space="preserve">было получено 600 обращений граждан против строительства мусоросжигающего завода в </w:t>
      </w:r>
      <w:r w:rsidR="002A2A79">
        <w:rPr>
          <w:rFonts w:ascii="Times New Roman" w:hAnsi="Times New Roman"/>
          <w:sz w:val="28"/>
          <w:szCs w:val="28"/>
        </w:rPr>
        <w:t xml:space="preserve">                </w:t>
      </w:r>
      <w:r w:rsidRPr="00A259AA">
        <w:rPr>
          <w:rFonts w:ascii="Times New Roman" w:hAnsi="Times New Roman"/>
          <w:sz w:val="28"/>
          <w:szCs w:val="28"/>
        </w:rPr>
        <w:t>г. Казани.</w:t>
      </w:r>
    </w:p>
    <w:p w:rsidR="009721E8" w:rsidRPr="004B681E" w:rsidRDefault="009721E8" w:rsidP="008D737B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81E">
        <w:rPr>
          <w:rFonts w:ascii="Times New Roman" w:hAnsi="Times New Roman"/>
          <w:sz w:val="28"/>
          <w:szCs w:val="28"/>
        </w:rPr>
        <w:t xml:space="preserve">Также не менее значимыми остаются </w:t>
      </w:r>
      <w:r w:rsidRPr="004B681E">
        <w:rPr>
          <w:rFonts w:ascii="Times New Roman" w:hAnsi="Times New Roman"/>
          <w:b/>
          <w:sz w:val="28"/>
          <w:szCs w:val="28"/>
        </w:rPr>
        <w:t xml:space="preserve">вопросы, связанные </w:t>
      </w:r>
      <w:r w:rsidR="000D66E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B681E">
        <w:rPr>
          <w:rFonts w:ascii="Times New Roman" w:hAnsi="Times New Roman"/>
          <w:b/>
          <w:sz w:val="28"/>
          <w:szCs w:val="28"/>
        </w:rPr>
        <w:t xml:space="preserve">с улучшением жилищных условий </w:t>
      </w:r>
      <w:r w:rsidRPr="004B681E">
        <w:rPr>
          <w:rFonts w:ascii="Times New Roman" w:hAnsi="Times New Roman"/>
          <w:sz w:val="28"/>
          <w:szCs w:val="28"/>
        </w:rPr>
        <w:t xml:space="preserve">– </w:t>
      </w:r>
      <w:r w:rsidR="00A951E8">
        <w:rPr>
          <w:rFonts w:ascii="Times New Roman" w:hAnsi="Times New Roman"/>
          <w:sz w:val="28"/>
          <w:szCs w:val="28"/>
        </w:rPr>
        <w:t>489</w:t>
      </w:r>
      <w:r w:rsidRPr="004B681E">
        <w:rPr>
          <w:rFonts w:ascii="Times New Roman" w:hAnsi="Times New Roman"/>
          <w:sz w:val="28"/>
          <w:szCs w:val="28"/>
        </w:rPr>
        <w:t xml:space="preserve"> обращений (за 1 полугодие</w:t>
      </w:r>
      <w:r w:rsidR="002A2A79">
        <w:rPr>
          <w:rFonts w:ascii="Times New Roman" w:hAnsi="Times New Roman"/>
          <w:sz w:val="28"/>
          <w:szCs w:val="28"/>
        </w:rPr>
        <w:t xml:space="preserve">                  </w:t>
      </w:r>
      <w:r w:rsidRPr="004B681E">
        <w:rPr>
          <w:rFonts w:ascii="Times New Roman" w:hAnsi="Times New Roman"/>
          <w:sz w:val="28"/>
          <w:szCs w:val="28"/>
        </w:rPr>
        <w:t xml:space="preserve"> 201</w:t>
      </w:r>
      <w:r w:rsidR="0094008A">
        <w:rPr>
          <w:rFonts w:ascii="Times New Roman" w:hAnsi="Times New Roman"/>
          <w:sz w:val="28"/>
          <w:szCs w:val="28"/>
        </w:rPr>
        <w:t>7</w:t>
      </w:r>
      <w:r w:rsidRPr="004B681E">
        <w:rPr>
          <w:rFonts w:ascii="Times New Roman" w:hAnsi="Times New Roman"/>
          <w:sz w:val="28"/>
          <w:szCs w:val="28"/>
        </w:rPr>
        <w:t xml:space="preserve"> г.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>-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="0094008A">
        <w:rPr>
          <w:rFonts w:ascii="Times New Roman" w:hAnsi="Times New Roman"/>
          <w:sz w:val="28"/>
          <w:szCs w:val="28"/>
        </w:rPr>
        <w:t>470</w:t>
      </w:r>
      <w:r w:rsidRPr="004B681E">
        <w:rPr>
          <w:rFonts w:ascii="Times New Roman" w:hAnsi="Times New Roman"/>
          <w:sz w:val="28"/>
          <w:szCs w:val="28"/>
        </w:rPr>
        <w:t>). В первую очередь, вопросы с</w:t>
      </w:r>
      <w:r w:rsidRPr="004B68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выражением несогласия с условиями переселения из аварийных домов, ветхого 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жилья, санитарно-защитной зоны - </w:t>
      </w:r>
      <w:r w:rsidR="00A951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330 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 (</w:t>
      </w:r>
      <w:r w:rsidR="00C22941" w:rsidRPr="004B681E">
        <w:rPr>
          <w:rFonts w:ascii="Times New Roman" w:hAnsi="Times New Roman"/>
          <w:sz w:val="28"/>
          <w:szCs w:val="28"/>
        </w:rPr>
        <w:t>за 1 полугодие 201</w:t>
      </w:r>
      <w:r w:rsidR="00C22941">
        <w:rPr>
          <w:rFonts w:ascii="Times New Roman" w:hAnsi="Times New Roman"/>
          <w:sz w:val="28"/>
          <w:szCs w:val="28"/>
        </w:rPr>
        <w:t>7</w:t>
      </w:r>
      <w:r w:rsidR="00C22941" w:rsidRPr="004B681E">
        <w:rPr>
          <w:rFonts w:ascii="Times New Roman" w:hAnsi="Times New Roman"/>
          <w:sz w:val="28"/>
          <w:szCs w:val="28"/>
        </w:rPr>
        <w:t xml:space="preserve"> г.</w:t>
      </w:r>
      <w:r w:rsidR="00C22941">
        <w:rPr>
          <w:rFonts w:ascii="Times New Roman" w:hAnsi="Times New Roman"/>
          <w:sz w:val="28"/>
          <w:szCs w:val="28"/>
        </w:rPr>
        <w:t xml:space="preserve"> </w:t>
      </w:r>
      <w:r w:rsidR="00C22941" w:rsidRPr="004B681E">
        <w:rPr>
          <w:rFonts w:ascii="Times New Roman" w:hAnsi="Times New Roman"/>
          <w:sz w:val="28"/>
          <w:szCs w:val="28"/>
        </w:rPr>
        <w:t>-</w:t>
      </w:r>
      <w:r w:rsidR="00C22941">
        <w:rPr>
          <w:rFonts w:ascii="Times New Roman" w:hAnsi="Times New Roman"/>
          <w:sz w:val="28"/>
          <w:szCs w:val="28"/>
        </w:rPr>
        <w:t xml:space="preserve"> 299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4B681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721E8" w:rsidRPr="004B681E" w:rsidRDefault="009721E8" w:rsidP="008D737B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681E">
        <w:rPr>
          <w:rFonts w:ascii="Times New Roman" w:hAnsi="Times New Roman"/>
          <w:sz w:val="28"/>
          <w:szCs w:val="28"/>
        </w:rPr>
        <w:lastRenderedPageBreak/>
        <w:t xml:space="preserve">Существенна и роль обращений, </w:t>
      </w:r>
      <w:r w:rsidRPr="004B681E">
        <w:rPr>
          <w:rFonts w:ascii="Times New Roman" w:hAnsi="Times New Roman"/>
          <w:b/>
          <w:sz w:val="28"/>
          <w:szCs w:val="28"/>
        </w:rPr>
        <w:t xml:space="preserve">связанных с оплатой по жилищно-коммунальным услугам </w:t>
      </w:r>
      <w:r w:rsidRPr="004B681E">
        <w:rPr>
          <w:rFonts w:ascii="Times New Roman" w:hAnsi="Times New Roman"/>
          <w:sz w:val="28"/>
          <w:szCs w:val="28"/>
        </w:rPr>
        <w:t xml:space="preserve">– </w:t>
      </w:r>
      <w:r w:rsidR="00C22941">
        <w:rPr>
          <w:rFonts w:ascii="Times New Roman" w:hAnsi="Times New Roman"/>
          <w:sz w:val="28"/>
          <w:szCs w:val="28"/>
        </w:rPr>
        <w:t>150</w:t>
      </w:r>
      <w:r w:rsidRPr="004B681E">
        <w:rPr>
          <w:rFonts w:ascii="Times New Roman" w:hAnsi="Times New Roman"/>
          <w:sz w:val="28"/>
          <w:szCs w:val="28"/>
        </w:rPr>
        <w:t xml:space="preserve"> обращений (за 1 полугодие 201</w:t>
      </w:r>
      <w:r w:rsidR="0094008A">
        <w:rPr>
          <w:rFonts w:ascii="Times New Roman" w:hAnsi="Times New Roman"/>
          <w:sz w:val="28"/>
          <w:szCs w:val="28"/>
        </w:rPr>
        <w:t>7</w:t>
      </w:r>
      <w:r w:rsidRPr="004B681E">
        <w:rPr>
          <w:rFonts w:ascii="Times New Roman" w:hAnsi="Times New Roman"/>
          <w:sz w:val="28"/>
          <w:szCs w:val="28"/>
        </w:rPr>
        <w:t xml:space="preserve"> г.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>-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="0094008A">
        <w:rPr>
          <w:rFonts w:ascii="Times New Roman" w:hAnsi="Times New Roman"/>
          <w:sz w:val="28"/>
          <w:szCs w:val="28"/>
        </w:rPr>
        <w:t>278</w:t>
      </w:r>
      <w:r w:rsidRPr="004B681E">
        <w:rPr>
          <w:rFonts w:ascii="Times New Roman" w:hAnsi="Times New Roman"/>
          <w:sz w:val="28"/>
          <w:szCs w:val="28"/>
        </w:rPr>
        <w:t xml:space="preserve">). </w:t>
      </w:r>
    </w:p>
    <w:p w:rsidR="009721E8" w:rsidRDefault="009721E8" w:rsidP="008D737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подготовленных Министерством ответов на обращения граждан показал, что большая часть из них носит разъяснительный характер, где прописывается  алгоритм действий по решению вопросов граждан. </w:t>
      </w:r>
      <w:r w:rsidR="00ED709F" w:rsidRPr="004B681E">
        <w:rPr>
          <w:rFonts w:ascii="Times New Roman" w:eastAsia="Times New Roman" w:hAnsi="Times New Roman"/>
          <w:sz w:val="28"/>
          <w:szCs w:val="28"/>
          <w:lang w:eastAsia="ru-RU"/>
        </w:rPr>
        <w:t>Значительно увеличилось количество вопросов,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могут быть решены на уровне </w:t>
      </w:r>
      <w:r w:rsidRPr="004B681E">
        <w:rPr>
          <w:rFonts w:ascii="Times New Roman" w:eastAsia="Times New Roman" w:hAnsi="Times New Roman"/>
          <w:bCs/>
          <w:sz w:val="28"/>
          <w:szCs w:val="24"/>
          <w:lang w:eastAsia="ru-RU"/>
        </w:rPr>
        <w:t>органов</w:t>
      </w:r>
      <w:r w:rsidRPr="004B681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681E">
        <w:rPr>
          <w:rFonts w:ascii="Times New Roman" w:eastAsia="Times New Roman" w:hAnsi="Times New Roman"/>
          <w:bCs/>
          <w:sz w:val="28"/>
          <w:szCs w:val="24"/>
          <w:lang w:eastAsia="ru-RU"/>
        </w:rPr>
        <w:t>местного</w:t>
      </w:r>
      <w:r w:rsidRPr="004B681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681E">
        <w:rPr>
          <w:rFonts w:ascii="Times New Roman" w:eastAsia="Times New Roman" w:hAnsi="Times New Roman"/>
          <w:bCs/>
          <w:sz w:val="28"/>
          <w:szCs w:val="24"/>
          <w:lang w:eastAsia="ru-RU"/>
        </w:rPr>
        <w:t>самоуправления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>, и не входят в функции Министерства</w:t>
      </w:r>
      <w:r w:rsidR="00D13BED">
        <w:rPr>
          <w:rFonts w:ascii="Times New Roman" w:eastAsia="Times New Roman" w:hAnsi="Times New Roman"/>
          <w:sz w:val="28"/>
          <w:szCs w:val="28"/>
          <w:lang w:eastAsia="ru-RU"/>
        </w:rPr>
        <w:t xml:space="preserve"> (779 обращений)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>. Данные обращения были переадресованы в органы местного самоуправления с целью дальнейшей работы над ними и конечного ответа автору.</w:t>
      </w:r>
    </w:p>
    <w:p w:rsidR="0094008A" w:rsidRDefault="0094008A" w:rsidP="008D737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4F0">
        <w:rPr>
          <w:rFonts w:ascii="Times New Roman" w:hAnsi="Times New Roman"/>
          <w:sz w:val="28"/>
          <w:szCs w:val="28"/>
        </w:rPr>
        <w:t xml:space="preserve">Все обращения граждан, поступившие в Министерство, </w:t>
      </w:r>
      <w:r w:rsidRPr="001D64F0">
        <w:rPr>
          <w:rFonts w:ascii="Times New Roman" w:hAnsi="Times New Roman"/>
          <w:sz w:val="28"/>
          <w:szCs w:val="28"/>
          <w:lang w:eastAsia="ru-RU"/>
        </w:rPr>
        <w:t>были рассмотрены в установленные контрольные сроки</w:t>
      </w:r>
      <w:r w:rsidRPr="001D64F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№ 59-ФЗ «О порядке рассмотрения обращений граждан Российской Федерации.</w:t>
      </w:r>
    </w:p>
    <w:p w:rsidR="00F00DA9" w:rsidRPr="001D64F0" w:rsidRDefault="00F00DA9" w:rsidP="008D737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08A" w:rsidRPr="001D64F0" w:rsidRDefault="0094008A" w:rsidP="008D737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4008A" w:rsidRPr="001D64F0" w:rsidSect="00380399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8"/>
    <w:rsid w:val="00012E78"/>
    <w:rsid w:val="000229AF"/>
    <w:rsid w:val="00022F64"/>
    <w:rsid w:val="0002507E"/>
    <w:rsid w:val="000509E1"/>
    <w:rsid w:val="0005120E"/>
    <w:rsid w:val="00062956"/>
    <w:rsid w:val="00087B39"/>
    <w:rsid w:val="000976FD"/>
    <w:rsid w:val="000A21F9"/>
    <w:rsid w:val="000A2599"/>
    <w:rsid w:val="000B117F"/>
    <w:rsid w:val="000D66E8"/>
    <w:rsid w:val="000E74AF"/>
    <w:rsid w:val="00120B3D"/>
    <w:rsid w:val="00120EFA"/>
    <w:rsid w:val="0012729F"/>
    <w:rsid w:val="00175657"/>
    <w:rsid w:val="00176AC2"/>
    <w:rsid w:val="00183423"/>
    <w:rsid w:val="001C0AFD"/>
    <w:rsid w:val="001C1862"/>
    <w:rsid w:val="001D34E6"/>
    <w:rsid w:val="001D590E"/>
    <w:rsid w:val="001D6264"/>
    <w:rsid w:val="001D64F0"/>
    <w:rsid w:val="00202DC0"/>
    <w:rsid w:val="00227ABF"/>
    <w:rsid w:val="00242CE8"/>
    <w:rsid w:val="00254EBD"/>
    <w:rsid w:val="0025654E"/>
    <w:rsid w:val="00283877"/>
    <w:rsid w:val="00294FE9"/>
    <w:rsid w:val="0029718A"/>
    <w:rsid w:val="002A2A79"/>
    <w:rsid w:val="002B4A63"/>
    <w:rsid w:val="002B6477"/>
    <w:rsid w:val="002B6B58"/>
    <w:rsid w:val="002C5BFA"/>
    <w:rsid w:val="002F13BD"/>
    <w:rsid w:val="003152F6"/>
    <w:rsid w:val="00380399"/>
    <w:rsid w:val="003A0863"/>
    <w:rsid w:val="003B5B3B"/>
    <w:rsid w:val="003D692B"/>
    <w:rsid w:val="003F3679"/>
    <w:rsid w:val="003F3FEE"/>
    <w:rsid w:val="004111D8"/>
    <w:rsid w:val="0041218B"/>
    <w:rsid w:val="004324B8"/>
    <w:rsid w:val="00444FDD"/>
    <w:rsid w:val="0045285B"/>
    <w:rsid w:val="0048316A"/>
    <w:rsid w:val="004927E0"/>
    <w:rsid w:val="004B2B0F"/>
    <w:rsid w:val="004B681E"/>
    <w:rsid w:val="004C0376"/>
    <w:rsid w:val="004D0FF7"/>
    <w:rsid w:val="004E1C74"/>
    <w:rsid w:val="00505FD9"/>
    <w:rsid w:val="0053090A"/>
    <w:rsid w:val="00533A60"/>
    <w:rsid w:val="00576219"/>
    <w:rsid w:val="005763A8"/>
    <w:rsid w:val="00590409"/>
    <w:rsid w:val="005D054F"/>
    <w:rsid w:val="005E656C"/>
    <w:rsid w:val="005F5B25"/>
    <w:rsid w:val="006159A7"/>
    <w:rsid w:val="0064082E"/>
    <w:rsid w:val="00647172"/>
    <w:rsid w:val="00651FF5"/>
    <w:rsid w:val="0066523F"/>
    <w:rsid w:val="006B6830"/>
    <w:rsid w:val="006C57B6"/>
    <w:rsid w:val="00751680"/>
    <w:rsid w:val="007823A6"/>
    <w:rsid w:val="00786FCC"/>
    <w:rsid w:val="007A7A36"/>
    <w:rsid w:val="007A7A6F"/>
    <w:rsid w:val="007D5DEF"/>
    <w:rsid w:val="007E3397"/>
    <w:rsid w:val="008564BB"/>
    <w:rsid w:val="00857FED"/>
    <w:rsid w:val="00870E17"/>
    <w:rsid w:val="0088665F"/>
    <w:rsid w:val="008B39CA"/>
    <w:rsid w:val="008B59B0"/>
    <w:rsid w:val="008B5FCC"/>
    <w:rsid w:val="008D737B"/>
    <w:rsid w:val="008E268E"/>
    <w:rsid w:val="0094008A"/>
    <w:rsid w:val="009701B3"/>
    <w:rsid w:val="009721E8"/>
    <w:rsid w:val="00982F62"/>
    <w:rsid w:val="0099264A"/>
    <w:rsid w:val="009C61E2"/>
    <w:rsid w:val="009D33CB"/>
    <w:rsid w:val="009E6F7C"/>
    <w:rsid w:val="009F3156"/>
    <w:rsid w:val="00A02E6F"/>
    <w:rsid w:val="00A259AA"/>
    <w:rsid w:val="00A57724"/>
    <w:rsid w:val="00A951E8"/>
    <w:rsid w:val="00AE6A87"/>
    <w:rsid w:val="00AF4E28"/>
    <w:rsid w:val="00B20F91"/>
    <w:rsid w:val="00B34C14"/>
    <w:rsid w:val="00B37C52"/>
    <w:rsid w:val="00B63A76"/>
    <w:rsid w:val="00B74C6C"/>
    <w:rsid w:val="00BE2B81"/>
    <w:rsid w:val="00BF18AA"/>
    <w:rsid w:val="00C04B80"/>
    <w:rsid w:val="00C05654"/>
    <w:rsid w:val="00C22941"/>
    <w:rsid w:val="00C30CFE"/>
    <w:rsid w:val="00C41E99"/>
    <w:rsid w:val="00C603C3"/>
    <w:rsid w:val="00C66465"/>
    <w:rsid w:val="00CA396E"/>
    <w:rsid w:val="00CB33C1"/>
    <w:rsid w:val="00CC3740"/>
    <w:rsid w:val="00D13BED"/>
    <w:rsid w:val="00D25D5D"/>
    <w:rsid w:val="00D3265D"/>
    <w:rsid w:val="00D62774"/>
    <w:rsid w:val="00DA35DE"/>
    <w:rsid w:val="00E12DD1"/>
    <w:rsid w:val="00E760D5"/>
    <w:rsid w:val="00EB5550"/>
    <w:rsid w:val="00EC2C9D"/>
    <w:rsid w:val="00ED709F"/>
    <w:rsid w:val="00EE0094"/>
    <w:rsid w:val="00F00DA9"/>
    <w:rsid w:val="00F06E88"/>
    <w:rsid w:val="00F16B36"/>
    <w:rsid w:val="00F46FB8"/>
    <w:rsid w:val="00F70A26"/>
    <w:rsid w:val="00F978E6"/>
    <w:rsid w:val="00FA336A"/>
    <w:rsid w:val="00FB1864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2684-1277-4CAB-9BDE-3D81AD3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9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309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1F77-16CB-4A37-BD79-609AB8CA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Феликс Мусин</dc:creator>
  <cp:lastModifiedBy>Лейсан Залялова</cp:lastModifiedBy>
  <cp:revision>2</cp:revision>
  <cp:lastPrinted>2017-08-02T12:51:00Z</cp:lastPrinted>
  <dcterms:created xsi:type="dcterms:W3CDTF">2018-07-09T12:33:00Z</dcterms:created>
  <dcterms:modified xsi:type="dcterms:W3CDTF">2018-07-09T12:33:00Z</dcterms:modified>
</cp:coreProperties>
</file>